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9E7" w:rsidRDefault="00156ABF" w:rsidP="00CB59E7">
      <w:pPr>
        <w:spacing w:line="0" w:lineRule="atLeast"/>
        <w:rPr>
          <w:rFonts w:ascii="Arial" w:eastAsia="Arial" w:hAnsi="Arial"/>
          <w:b/>
          <w:color w:val="FF0000"/>
          <w:sz w:val="28"/>
          <w:szCs w:val="4"/>
        </w:rPr>
      </w:pPr>
      <w:r>
        <w:rPr>
          <w:rFonts w:ascii="Arial" w:eastAsia="Arial" w:hAnsi="Arial"/>
          <w:b/>
          <w:noProof/>
          <w:color w:val="FF0000"/>
          <w:sz w:val="28"/>
          <w:szCs w:val="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0.4pt;margin-top:-7.35pt;width:524.25pt;height:38.5pt;z-index:251658240" strokeweight="1.5pt">
            <v:textbox style="mso-next-textbox:#_x0000_s1026">
              <w:txbxContent>
                <w:p w:rsidR="003A27E0" w:rsidRDefault="00C23485" w:rsidP="00C23485">
                  <w:pPr>
                    <w:jc w:val="center"/>
                  </w:pPr>
                  <w:r w:rsidRPr="00C23485">
                    <w:rPr>
                      <w:rFonts w:asciiTheme="minorBidi" w:eastAsia="Arial" w:hAnsiTheme="minorBidi" w:cstheme="minorBidi"/>
                      <w:b/>
                      <w:bCs/>
                      <w:color w:val="FF0066"/>
                      <w:sz w:val="52"/>
                      <w:szCs w:val="16"/>
                    </w:rPr>
                    <w:t>ANTI-PALUDEEN D’ORIGINE VEGETALE</w:t>
                  </w:r>
                </w:p>
              </w:txbxContent>
            </v:textbox>
          </v:shape>
        </w:pict>
      </w:r>
    </w:p>
    <w:p w:rsidR="00CB59E7" w:rsidRDefault="00CB59E7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</w:p>
    <w:p w:rsidR="003E5CEE" w:rsidRDefault="00156ABF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  <w:r>
        <w:rPr>
          <w:rFonts w:asciiTheme="minorHAnsi" w:eastAsia="Arial" w:hAnsiTheme="minorHAnsi" w:cstheme="minorHAnsi"/>
          <w:b/>
          <w:noProof/>
          <w:color w:val="FF0000"/>
          <w:sz w:val="28"/>
          <w:szCs w:val="28"/>
        </w:rPr>
        <w:pict>
          <v:shape id="_x0000_s1033" type="#_x0000_t202" style="position:absolute;margin-left:139.9pt;margin-top:1.7pt;width:552pt;height:22.5pt;z-index:251665408" strokecolor="white [3212]">
            <v:textbox>
              <w:txbxContent>
                <w:p w:rsidR="00C23485" w:rsidRDefault="00C23485" w:rsidP="00C23485">
                  <w:pPr>
                    <w:jc w:val="center"/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 xml:space="preserve">(Parasitose transmise à l'Homme par des piquires de moustique </w:t>
                  </w:r>
                  <w:r w:rsidR="00F53F24"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>Anophèles</w:t>
                  </w:r>
                  <w:r>
                    <w:rPr>
                      <w:rFonts w:asciiTheme="minorHAnsi" w:eastAsia="Arial" w:hAnsiTheme="minorHAnsi" w:cstheme="minorHAnsi"/>
                      <w:bCs/>
                      <w:sz w:val="22"/>
                      <w:szCs w:val="22"/>
                    </w:rPr>
                    <w:t xml:space="preserve"> femelles infectées "vecteurs du paludisme")</w:t>
                  </w:r>
                </w:p>
                <w:p w:rsidR="00C23485" w:rsidRDefault="00C23485"/>
              </w:txbxContent>
            </v:textbox>
          </v:shape>
        </w:pict>
      </w:r>
    </w:p>
    <w:p w:rsidR="003E5CEE" w:rsidRPr="008977D0" w:rsidRDefault="003E5CEE" w:rsidP="00CB59E7">
      <w:pPr>
        <w:spacing w:line="0" w:lineRule="atLeast"/>
        <w:rPr>
          <w:rFonts w:asciiTheme="minorHAnsi" w:eastAsia="Arial" w:hAnsiTheme="minorHAnsi" w:cstheme="minorHAnsi"/>
          <w:b/>
          <w:color w:val="FF0000"/>
          <w:sz w:val="28"/>
          <w:szCs w:val="28"/>
        </w:rPr>
      </w:pPr>
    </w:p>
    <w:p w:rsidR="00CB59E7" w:rsidRDefault="00156ABF" w:rsidP="00C23485">
      <w:pPr>
        <w:jc w:val="center"/>
      </w:pPr>
      <w:r>
        <w:rPr>
          <w:noProof/>
        </w:rPr>
        <w:pict>
          <v:shape id="_x0000_s1037" type="#_x0000_t202" style="position:absolute;left:0;text-align:left;margin-left:130.9pt;margin-top:11.55pt;width:558.75pt;height:54.75pt;z-index:251667456" strokeweight="1.5pt">
            <v:textbox>
              <w:txbxContent>
                <w:p w:rsidR="007D4E6D" w:rsidRPr="00832FDC" w:rsidRDefault="00C464CE" w:rsidP="00C464C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>Quinquinos</w:t>
                  </w:r>
                  <w:r w:rsidR="007D4E6D"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 xml:space="preserve">: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CINCHONA ssp</w:t>
                  </w:r>
                </w:p>
                <w:p w:rsidR="007D4E6D" w:rsidRPr="00832FDC" w:rsidRDefault="007D4E6D" w:rsidP="00C464C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(</w:t>
                  </w:r>
                  <w:r w:rsidR="00C464CE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RUBIACEAE</w:t>
                  </w: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</w:txbxContent>
            </v:textbox>
          </v:shape>
        </w:pict>
      </w:r>
    </w:p>
    <w:p w:rsidR="00CC28DB" w:rsidRDefault="00CC28DB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F53F24" w:rsidRDefault="00F53F24" w:rsidP="00C23485">
      <w:pPr>
        <w:jc w:val="center"/>
      </w:pPr>
    </w:p>
    <w:p w:rsidR="003775DA" w:rsidRDefault="003775DA" w:rsidP="00C23485">
      <w:pPr>
        <w:jc w:val="center"/>
      </w:pPr>
    </w:p>
    <w:p w:rsidR="00F53F24" w:rsidRDefault="00F53F24" w:rsidP="00C23485">
      <w:pPr>
        <w:jc w:val="center"/>
      </w:pPr>
    </w:p>
    <w:p w:rsidR="007D4E6D" w:rsidRDefault="007D4E6D" w:rsidP="007D4E6D"/>
    <w:p w:rsidR="007D4E6D" w:rsidRPr="00F440B0" w:rsidRDefault="007D4E6D" w:rsidP="00F53F24">
      <w:pPr>
        <w:rPr>
          <w:rFonts w:asciiTheme="minorHAnsi" w:eastAsia="Arial" w:hAnsiTheme="minorHAnsi" w:cstheme="minorHAnsi"/>
          <w:b/>
          <w:i/>
          <w:sz w:val="22"/>
          <w:szCs w:val="22"/>
        </w:rPr>
      </w:pPr>
      <w:r w:rsidRPr="00F440B0">
        <w:rPr>
          <w:rFonts w:asciiTheme="minorHAnsi" w:eastAsia="Arial" w:hAnsiTheme="minorHAnsi" w:cstheme="minorHAnsi"/>
          <w:b/>
          <w:iCs/>
          <w:color w:val="984806" w:themeColor="accent6" w:themeShade="80"/>
          <w:sz w:val="22"/>
          <w:szCs w:val="22"/>
        </w:rPr>
        <w:t>Drogue:</w:t>
      </w:r>
      <w:r w:rsidRPr="00F440B0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</w:t>
      </w:r>
      <w:r w:rsidR="00C464C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Ecorce </w:t>
      </w:r>
      <w:r w:rsidR="00C464CE" w:rsidRPr="00C464CE">
        <w:rPr>
          <w:rFonts w:asciiTheme="minorHAnsi" w:eastAsia="Arial" w:hAnsiTheme="minorHAnsi" w:cstheme="minorHAnsi"/>
          <w:b/>
          <w:i/>
          <w:iCs/>
          <w:sz w:val="22"/>
          <w:szCs w:val="22"/>
        </w:rPr>
        <w:t>séchée entière ou fragmentée de Cinchona succirubra Pavon</w:t>
      </w:r>
      <w:r w:rsidR="006A6386">
        <w:rPr>
          <w:rFonts w:asciiTheme="minorHAnsi" w:eastAsia="Arial" w:hAnsiTheme="minorHAnsi" w:cstheme="minorHAnsi"/>
          <w:b/>
          <w:i/>
          <w:iCs/>
          <w:sz w:val="22"/>
          <w:szCs w:val="22"/>
        </w:rPr>
        <w:t xml:space="preserve"> </w:t>
      </w:r>
      <w:r w:rsidR="00C464CE" w:rsidRPr="00C464CE">
        <w:rPr>
          <w:rFonts w:asciiTheme="minorHAnsi" w:eastAsia="Arial" w:hAnsiTheme="minorHAnsi" w:cstheme="minorHAnsi"/>
          <w:b/>
          <w:i/>
          <w:iCs/>
          <w:sz w:val="22"/>
          <w:szCs w:val="22"/>
        </w:rPr>
        <w:t>(=C. pubescens Vahl) ,de C. callisaya Weddell ou de C. ledgeriana Moens ou de ses variétés et de ses hybrides) contient au min 6,5% d’alcaloïdes dont 30 à 60% sont constitués par des alcaloïdes de type de la quinine.</w:t>
      </w:r>
    </w:p>
    <w:p w:rsidR="006A6386" w:rsidRPr="006A6386" w:rsidRDefault="006A6386" w:rsidP="006A6386">
      <w:pPr>
        <w:pStyle w:val="Titre1"/>
        <w:rPr>
          <w:rFonts w:eastAsia="Arial"/>
        </w:rPr>
      </w:pPr>
    </w:p>
    <w:p w:rsidR="007D4E6D" w:rsidRPr="00F440B0" w:rsidRDefault="00D201A9" w:rsidP="006A6386">
      <w:pPr>
        <w:pStyle w:val="Titre1"/>
        <w:rPr>
          <w:rFonts w:eastAsia="Arial"/>
        </w:rPr>
      </w:pPr>
      <w:r>
        <w:rPr>
          <w:rFonts w:eastAsia="Arial"/>
        </w:rPr>
        <w:t>1</w:t>
      </w:r>
      <w:r w:rsidR="006A6386">
        <w:rPr>
          <w:rFonts w:eastAsia="Arial"/>
        </w:rPr>
        <w:t xml:space="preserve">. COMPOSITION CHIMIQUE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color w:val="006600"/>
          <w:sz w:val="24"/>
          <w:szCs w:val="24"/>
        </w:rPr>
      </w:pPr>
      <w:r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PRINCIPES ACTIFS : ALCALOÏDES QUINOLEIQUES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-Teneurs en AT des différentes espèces : </w:t>
      </w:r>
    </w:p>
    <w:p w:rsid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Cinchona succirubra </w:t>
      </w:r>
      <w:r w:rsidRPr="006A6386">
        <w:rPr>
          <w:rFonts w:asciiTheme="minorHAnsi" w:eastAsia="Arial" w:hAnsiTheme="minorHAnsi" w:cstheme="minorHAnsi"/>
          <w:sz w:val="22"/>
          <w:szCs w:val="22"/>
        </w:rPr>
        <w:t>:4,5 à 8,4%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i/>
          <w:iCs/>
          <w:sz w:val="22"/>
          <w:szCs w:val="22"/>
        </w:rPr>
        <w:t xml:space="preserve">C. ledgeriana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: 5 à 14% </w:t>
      </w:r>
    </w:p>
    <w:p w:rsidR="006A6386" w:rsidRPr="006A6386" w:rsidRDefault="006A6386" w:rsidP="006A6386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Alcaloïdes majoritaires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(paires de </w:t>
      </w:r>
      <w:r w:rsidR="00F53F24" w:rsidRPr="006A6386">
        <w:rPr>
          <w:rFonts w:asciiTheme="minorHAnsi" w:eastAsia="Arial" w:hAnsiTheme="minorHAnsi" w:cstheme="minorHAnsi"/>
          <w:sz w:val="22"/>
          <w:szCs w:val="22"/>
        </w:rPr>
        <w:t>stéréo-isomères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) </w:t>
      </w:r>
    </w:p>
    <w:p w:rsidR="006A6386" w:rsidRPr="00F53F24" w:rsidRDefault="006A6386" w:rsidP="00F53F24">
      <w:pPr>
        <w:tabs>
          <w:tab w:val="left" w:pos="1080"/>
        </w:tabs>
        <w:jc w:val="both"/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-</w:t>
      </w:r>
      <w:r w:rsidRPr="00F53F24">
        <w:rPr>
          <w:rFonts w:asciiTheme="minorHAnsi" w:eastAsia="Arial" w:hAnsiTheme="minorHAnsi" w:cstheme="minorHAnsi"/>
          <w:b/>
          <w:bCs/>
          <w:sz w:val="22"/>
          <w:szCs w:val="22"/>
        </w:rPr>
        <w:t>Alcaloïdes minoritaires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 de structure indolique (cinchonamine) et </w:t>
      </w:r>
      <w:r w:rsidRPr="00F53F24">
        <w:rPr>
          <w:rFonts w:asciiTheme="minorHAnsi" w:eastAsia="Arial" w:hAnsiTheme="minorHAnsi" w:cstheme="minorHAnsi"/>
          <w:sz w:val="22"/>
          <w:szCs w:val="22"/>
          <w:u w:val="single"/>
        </w:rPr>
        <w:t>sont majoritaires dans les feuilles.</w:t>
      </w:r>
    </w:p>
    <w:p w:rsidR="006A6386" w:rsidRPr="00F53F24" w:rsidRDefault="006A6386" w:rsidP="006A6386">
      <w:pPr>
        <w:tabs>
          <w:tab w:val="left" w:pos="1080"/>
        </w:tabs>
        <w:jc w:val="both"/>
        <w:rPr>
          <w:rFonts w:asciiTheme="minorHAnsi" w:eastAsia="Wingdings" w:hAnsiTheme="minorHAnsi" w:cstheme="minorHAnsi"/>
          <w:vertAlign w:val="superscript"/>
        </w:rPr>
      </w:pPr>
    </w:p>
    <w:p w:rsidR="00F53F24" w:rsidRPr="00F440B0" w:rsidRDefault="00F53F24" w:rsidP="006A6386">
      <w:pPr>
        <w:tabs>
          <w:tab w:val="left" w:pos="1080"/>
        </w:tabs>
        <w:jc w:val="both"/>
        <w:rPr>
          <w:rFonts w:asciiTheme="minorHAnsi" w:eastAsia="Wingdings" w:hAnsiTheme="minorHAnsi" w:cstheme="minorHAnsi"/>
          <w:sz w:val="22"/>
          <w:szCs w:val="22"/>
          <w:vertAlign w:val="superscript"/>
        </w:rPr>
      </w:pPr>
    </w:p>
    <w:p w:rsidR="006A6386" w:rsidRDefault="00D201A9" w:rsidP="00F53F24">
      <w:pPr>
        <w:pStyle w:val="Titre1"/>
        <w:rPr>
          <w:rFonts w:eastAsia="Arial"/>
        </w:rPr>
      </w:pPr>
      <w:r>
        <w:rPr>
          <w:rFonts w:eastAsia="Arial"/>
        </w:rPr>
        <w:t>2</w:t>
      </w:r>
      <w:r w:rsidR="006A6386" w:rsidRPr="006A6386">
        <w:rPr>
          <w:rFonts w:eastAsia="Arial"/>
        </w:rPr>
        <w:t xml:space="preserve">. PROPRIETES PHYSICO-CHIMIQUE </w:t>
      </w:r>
    </w:p>
    <w:p w:rsidR="006A6386" w:rsidRPr="006A6386" w:rsidRDefault="00D201A9" w:rsidP="006A6386">
      <w:pPr>
        <w:rPr>
          <w:rFonts w:asciiTheme="minorHAnsi" w:eastAsia="Arial" w:hAnsiTheme="minorHAnsi" w:cstheme="majorBidi"/>
          <w:b/>
          <w:bCs/>
          <w:color w:val="006600"/>
          <w:sz w:val="24"/>
          <w:szCs w:val="24"/>
        </w:rPr>
      </w:pPr>
      <w:r>
        <w:rPr>
          <w:rFonts w:asciiTheme="minorHAnsi" w:eastAsia="Arial" w:hAnsiTheme="minorHAnsi" w:cstheme="majorBidi"/>
          <w:b/>
          <w:bCs/>
          <w:color w:val="006600"/>
          <w:sz w:val="24"/>
          <w:szCs w:val="24"/>
        </w:rPr>
        <w:t>2</w:t>
      </w:r>
      <w:r w:rsidR="006A6386" w:rsidRPr="006A6386">
        <w:rPr>
          <w:rFonts w:asciiTheme="minorHAnsi" w:eastAsia="Arial" w:hAnsiTheme="minorHAnsi" w:cstheme="majorBidi"/>
          <w:b/>
          <w:bCs/>
          <w:color w:val="006600"/>
          <w:sz w:val="24"/>
          <w:szCs w:val="24"/>
        </w:rPr>
        <w:t>.1. FORMATION DE SELS PAR LA QUININE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-sels « basiques » : réaction acide en solution, peu soluble dans l’eau </w:t>
      </w:r>
    </w:p>
    <w:p w:rsidR="006A6386" w:rsidRP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 xml:space="preserve">-sels « neutre » : réaction acide en solution beaucoup plus solubles dans l’eau que les sels « basiques » </w:t>
      </w:r>
    </w:p>
    <w:p w:rsidR="007D4E6D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Cette différence de solubilité entre les deux séries de sel est mise à profit pour l’extraction et la purification de la quinine.</w:t>
      </w:r>
    </w:p>
    <w:p w:rsidR="006A6386" w:rsidRPr="006A6386" w:rsidRDefault="00D201A9" w:rsidP="006A6386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2</w:t>
      </w:r>
      <w:r w:rsidR="006A6386"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.2. QUININE </w:t>
      </w:r>
    </w:p>
    <w:p w:rsidR="006A6386" w:rsidRDefault="006A6386" w:rsidP="006A6386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Pr="006A6386">
        <w:rPr>
          <w:rFonts w:asciiTheme="minorHAnsi" w:eastAsia="Arial" w:hAnsiTheme="minorHAnsi" w:cstheme="minorHAnsi"/>
          <w:sz w:val="22"/>
          <w:szCs w:val="22"/>
        </w:rPr>
        <w:t xml:space="preserve">fluorescence bleue en presence d’acide oxygene(h2so4) </w:t>
      </w:r>
      <w:r>
        <w:rPr>
          <w:rFonts w:asciiTheme="minorHAnsi" w:eastAsia="Arial" w:hAnsiTheme="minorHAnsi" w:cstheme="minorHAnsi"/>
          <w:sz w:val="22"/>
          <w:szCs w:val="22"/>
        </w:rPr>
        <w:t>qui disparait après ajout d'acides non oxygéné (HCL)</w:t>
      </w: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A95534" w:rsidRPr="006A6386" w:rsidRDefault="00A95534" w:rsidP="006A6386">
      <w:pPr>
        <w:rPr>
          <w:rFonts w:asciiTheme="minorHAnsi" w:eastAsia="Arial" w:hAnsiTheme="minorHAnsi" w:cstheme="minorHAnsi"/>
          <w:sz w:val="22"/>
          <w:szCs w:val="22"/>
        </w:rPr>
      </w:pPr>
    </w:p>
    <w:p w:rsidR="006A6386" w:rsidRPr="006A6386" w:rsidRDefault="00D201A9" w:rsidP="006A6386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2</w:t>
      </w:r>
      <w:r w:rsidR="006A6386" w:rsidRPr="006A6386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.3. REACTIONS COLOREES </w:t>
      </w:r>
    </w:p>
    <w:p w:rsidR="006A6386" w:rsidRPr="00F440B0" w:rsidRDefault="006A6386" w:rsidP="008178A4">
      <w:pPr>
        <w:rPr>
          <w:rFonts w:asciiTheme="minorHAnsi" w:eastAsia="Arial" w:hAnsiTheme="minorHAnsi" w:cstheme="minorHAnsi"/>
          <w:sz w:val="22"/>
          <w:szCs w:val="22"/>
        </w:rPr>
      </w:pPr>
      <w:r w:rsidRPr="006A6386">
        <w:rPr>
          <w:rFonts w:asciiTheme="minorHAnsi" w:eastAsia="Arial" w:hAnsiTheme="minorHAnsi" w:cstheme="minorHAnsi"/>
          <w:sz w:val="22"/>
          <w:szCs w:val="22"/>
        </w:rPr>
        <w:t>Thalléoquinine : coloration</w:t>
      </w:r>
      <w:r w:rsidRPr="00F53F24">
        <w:rPr>
          <w:rFonts w:asciiTheme="minorHAnsi" w:eastAsia="Arial" w:hAnsiTheme="minorHAnsi" w:cstheme="minorHAnsi"/>
          <w:sz w:val="22"/>
          <w:szCs w:val="22"/>
          <w:u w:val="single"/>
        </w:rPr>
        <w:t xml:space="preserve"> vert émeraude</w:t>
      </w:r>
    </w:p>
    <w:p w:rsidR="008178A4" w:rsidRDefault="008178A4" w:rsidP="006A6386">
      <w:pPr>
        <w:pStyle w:val="Titre1"/>
        <w:rPr>
          <w:rFonts w:eastAsia="Arial"/>
        </w:rPr>
      </w:pPr>
    </w:p>
    <w:p w:rsidR="007D4E6D" w:rsidRPr="00F440B0" w:rsidRDefault="00D201A9" w:rsidP="006A6386">
      <w:pPr>
        <w:pStyle w:val="Titre1"/>
        <w:rPr>
          <w:rFonts w:eastAsia="Arial"/>
        </w:rPr>
      </w:pPr>
      <w:r>
        <w:rPr>
          <w:rFonts w:eastAsia="Arial"/>
        </w:rPr>
        <w:t>3</w:t>
      </w:r>
      <w:r w:rsidR="006A6386" w:rsidRPr="006A6386">
        <w:rPr>
          <w:rFonts w:eastAsia="Arial"/>
        </w:rPr>
        <w:t xml:space="preserve">. ESSAI </w:t>
      </w:r>
    </w:p>
    <w:p w:rsidR="005B64D9" w:rsidRPr="005B64D9" w:rsidRDefault="00D201A9" w:rsidP="005B64D9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  <w:r w:rsidR="005B64D9"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.1. RECHERCHE D’ELEMENTS ETRANGERS </w:t>
      </w:r>
      <w:r w:rsidR="005B64D9" w:rsidRPr="005B64D9">
        <w:rPr>
          <w:rFonts w:asciiTheme="minorHAnsi" w:eastAsia="Arial" w:hAnsiTheme="minorHAnsi" w:cstheme="minorHAnsi"/>
          <w:sz w:val="22"/>
          <w:szCs w:val="22"/>
        </w:rPr>
        <w:t xml:space="preserve">: &lt;2% </w:t>
      </w:r>
    </w:p>
    <w:p w:rsidR="005B64D9" w:rsidRPr="005B64D9" w:rsidRDefault="00D201A9" w:rsidP="005B64D9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  <w:r w:rsidR="005B64D9"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.2. DROGUE DES CENDRES TOTALES </w:t>
      </w:r>
      <w:r w:rsidR="005B64D9" w:rsidRPr="005B64D9">
        <w:rPr>
          <w:rFonts w:asciiTheme="minorHAnsi" w:eastAsia="Arial" w:hAnsiTheme="minorHAnsi" w:cstheme="minorHAnsi"/>
          <w:sz w:val="22"/>
          <w:szCs w:val="22"/>
        </w:rPr>
        <w:t xml:space="preserve">: &lt; ou égale à 6%, cendres insolubles dans HCL :&lt; 1% </w:t>
      </w:r>
    </w:p>
    <w:p w:rsidR="005B64D9" w:rsidRDefault="00D201A9" w:rsidP="005B64D9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  <w:r w:rsidR="005B64D9"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.3. CCM D’EXTRAIT CHLOROFORMIQUE </w:t>
      </w:r>
      <w:r w:rsidR="005B64D9" w:rsidRPr="005B64D9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="005B64D9">
        <w:rPr>
          <w:rFonts w:asciiTheme="minorHAnsi" w:eastAsia="Arial" w:hAnsiTheme="minorHAnsi" w:cstheme="minorHAnsi"/>
          <w:sz w:val="22"/>
          <w:szCs w:val="22"/>
        </w:rPr>
        <w:t xml:space="preserve">m.e.e </w:t>
      </w:r>
      <w:r w:rsidR="005B64D9" w:rsidRPr="005B64D9">
        <w:rPr>
          <w:rFonts w:asciiTheme="minorHAnsi" w:eastAsia="Arial" w:hAnsiTheme="minorHAnsi" w:cstheme="minorHAnsi"/>
          <w:sz w:val="22"/>
          <w:szCs w:val="22"/>
        </w:rPr>
        <w:t>des principaux Alcaloïdes</w:t>
      </w:r>
    </w:p>
    <w:p w:rsidR="005B64D9" w:rsidRPr="005B64D9" w:rsidRDefault="00D201A9" w:rsidP="005B64D9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3</w:t>
      </w:r>
      <w:r w:rsidR="005B64D9" w:rsidRPr="005B64D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.4. DOSAGE DES ALCALOÏDES :TYPE QUININE ET CINCHONINE : </w:t>
      </w:r>
    </w:p>
    <w:p w:rsidR="007D4E6D" w:rsidRDefault="005B64D9" w:rsidP="005B64D9">
      <w:pPr>
        <w:rPr>
          <w:rFonts w:asciiTheme="minorHAnsi" w:eastAsia="Arial" w:hAnsiTheme="minorHAnsi" w:cstheme="minorHAnsi"/>
          <w:sz w:val="22"/>
          <w:szCs w:val="22"/>
        </w:rPr>
      </w:pPr>
      <w:r w:rsidRPr="005B64D9">
        <w:rPr>
          <w:rFonts w:asciiTheme="minorHAnsi" w:eastAsia="Arial" w:hAnsiTheme="minorHAnsi" w:cstheme="minorHAnsi"/>
          <w:sz w:val="22"/>
          <w:szCs w:val="22"/>
        </w:rPr>
        <w:t>Spectrophotométrie UV (mesure d’absorbance à 316 et 348 nm) teneur minimale exigée : 6,5%</w:t>
      </w:r>
    </w:p>
    <w:p w:rsidR="007D4E6D" w:rsidRPr="00F440B0" w:rsidRDefault="007D4E6D" w:rsidP="007D4E6D">
      <w:pPr>
        <w:rPr>
          <w:rFonts w:asciiTheme="minorHAnsi" w:eastAsia="Times New Roman" w:hAnsiTheme="minorHAnsi" w:cstheme="minorHAnsi"/>
          <w:sz w:val="22"/>
          <w:szCs w:val="22"/>
        </w:rPr>
      </w:pPr>
    </w:p>
    <w:p w:rsidR="007D4E6D" w:rsidRPr="00F440B0" w:rsidRDefault="00D201A9" w:rsidP="005B64D9">
      <w:pPr>
        <w:pStyle w:val="Titre1"/>
        <w:rPr>
          <w:rFonts w:eastAsia="Arial"/>
        </w:rPr>
      </w:pPr>
      <w:r>
        <w:rPr>
          <w:rFonts w:eastAsia="Arial"/>
        </w:rPr>
        <w:t>4</w:t>
      </w:r>
      <w:r w:rsidR="005B64D9" w:rsidRPr="005B64D9">
        <w:rPr>
          <w:rFonts w:eastAsia="Arial"/>
        </w:rPr>
        <w:t xml:space="preserve">. ACTION PHARMACOLOGIQUES </w:t>
      </w:r>
    </w:p>
    <w:p w:rsidR="00611D2E" w:rsidRPr="00992664" w:rsidRDefault="00611D2E" w:rsidP="00611D2E">
      <w:pPr>
        <w:rPr>
          <w:rFonts w:asciiTheme="minorHAnsi" w:eastAsia="Arial" w:hAnsiTheme="minorHAnsi" w:cstheme="minorHAnsi"/>
          <w:color w:val="006600"/>
          <w:sz w:val="22"/>
          <w:szCs w:val="22"/>
        </w:rPr>
      </w:pPr>
      <w:r w:rsidRPr="00992664">
        <w:rPr>
          <w:rFonts w:asciiTheme="minorHAnsi" w:eastAsia="Arial" w:hAnsiTheme="minorHAnsi" w:cstheme="minorHAnsi"/>
          <w:b/>
          <w:bCs/>
          <w:color w:val="006600"/>
          <w:sz w:val="22"/>
          <w:szCs w:val="22"/>
        </w:rPr>
        <w:t xml:space="preserve">Quinine </w:t>
      </w:r>
    </w:p>
    <w:p w:rsidR="00611D2E" w:rsidRPr="00611D2E" w:rsidRDefault="00611D2E" w:rsidP="00992664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-anti </w:t>
      </w:r>
      <w:r w:rsidR="00992664">
        <w:rPr>
          <w:rFonts w:asciiTheme="minorHAnsi" w:eastAsia="Arial" w:hAnsiTheme="minorHAnsi" w:cstheme="minorHAnsi"/>
          <w:sz w:val="22"/>
          <w:szCs w:val="22"/>
        </w:rPr>
        <w:t>plasmodique</w:t>
      </w:r>
      <w:r w:rsidRPr="00611D2E">
        <w:rPr>
          <w:rFonts w:asciiTheme="minorHAnsi" w:eastAsia="Arial" w:hAnsiTheme="minorHAnsi" w:cstheme="minorHAnsi"/>
          <w:sz w:val="22"/>
          <w:szCs w:val="22"/>
        </w:rPr>
        <w:t>, actif sur formes érythrocytaire asexuées</w:t>
      </w:r>
      <w:r w:rsidR="00992664">
        <w:rPr>
          <w:rFonts w:asciiTheme="minorHAnsi" w:eastAsia="Arial" w:hAnsiTheme="minorHAnsi" w:cstheme="minorHAnsi"/>
          <w:sz w:val="22"/>
          <w:szCs w:val="22"/>
        </w:rPr>
        <w:t xml:space="preserve"> du plasmodium </w:t>
      </w:r>
      <w:r w:rsidRPr="00611D2E">
        <w:rPr>
          <w:rFonts w:asciiTheme="minorHAnsi" w:eastAsia="Arial" w:hAnsiTheme="minorHAnsi" w:cstheme="minorHAnsi"/>
          <w:sz w:val="22"/>
          <w:szCs w:val="22"/>
        </w:rPr>
        <w:t xml:space="preserve"> jusqu’au stade trophozoite jeune, notamment sur plasmodium falciparum, P. malariae et P. ovale </w:t>
      </w:r>
      <w:r w:rsidR="00992664">
        <w:rPr>
          <w:rFonts w:asciiTheme="minorHAnsi" w:eastAsia="Arial" w:hAnsiTheme="minorHAnsi" w:cstheme="minorHAnsi"/>
          <w:sz w:val="22"/>
          <w:szCs w:val="22"/>
        </w:rPr>
        <w:t xml:space="preserve"> et P.vivax.</w:t>
      </w:r>
    </w:p>
    <w:p w:rsidR="00611D2E" w:rsidRP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-inactive sur les sporozoites et sur les formes tissulaire : son action sur les gamétocytes est pratiquement nulle . </w:t>
      </w:r>
    </w:p>
    <w:p w:rsidR="007D4E6D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>-Antipyrétique et faiblement analgésique</w:t>
      </w:r>
    </w:p>
    <w:p w:rsid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</w:p>
    <w:p w:rsidR="00611D2E" w:rsidRDefault="00D201A9" w:rsidP="00611D2E">
      <w:pPr>
        <w:pStyle w:val="Titre1"/>
        <w:rPr>
          <w:rFonts w:eastAsia="Arial"/>
        </w:rPr>
      </w:pPr>
      <w:r>
        <w:rPr>
          <w:rFonts w:eastAsia="Arial"/>
        </w:rPr>
        <w:t>5</w:t>
      </w:r>
      <w:r w:rsidR="00611D2E" w:rsidRPr="00611D2E">
        <w:rPr>
          <w:rFonts w:eastAsia="Arial"/>
        </w:rPr>
        <w:t xml:space="preserve">. EMPLOIS </w:t>
      </w:r>
    </w:p>
    <w:p w:rsidR="00611D2E" w:rsidRPr="00611D2E" w:rsidRDefault="00D201A9" w:rsidP="00611D2E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5</w:t>
      </w:r>
      <w:r w:rsidR="00611D2E" w:rsidRPr="00611D2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 xml:space="preserve">.1. DROGUE(ECORCE ) </w:t>
      </w:r>
    </w:p>
    <w:p w:rsidR="00611D2E" w:rsidRDefault="00611D2E" w:rsidP="00611D2E">
      <w:pPr>
        <w:rPr>
          <w:rFonts w:asciiTheme="minorHAnsi" w:eastAsia="Arial" w:hAnsiTheme="minorHAnsi" w:cstheme="minorHAnsi"/>
          <w:sz w:val="22"/>
          <w:szCs w:val="22"/>
        </w:rPr>
      </w:pPr>
      <w:r w:rsidRPr="00611D2E">
        <w:rPr>
          <w:rFonts w:asciiTheme="minorHAnsi" w:eastAsia="Arial" w:hAnsiTheme="minorHAnsi" w:cstheme="minorHAnsi"/>
          <w:sz w:val="22"/>
          <w:szCs w:val="22"/>
        </w:rPr>
        <w:t xml:space="preserve">Indications : inappétence (boissons gazeuses), troubles digestifs accompagnés de flatulences et de ballonnements. </w:t>
      </w:r>
    </w:p>
    <w:p w:rsidR="00A95534" w:rsidRDefault="00A95534" w:rsidP="00992664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</w:p>
    <w:p w:rsidR="00611D2E" w:rsidRPr="00992664" w:rsidRDefault="00D201A9" w:rsidP="00992664">
      <w:pPr>
        <w:rPr>
          <w:rFonts w:asciiTheme="minorHAnsi" w:eastAsia="Arial" w:hAnsiTheme="minorHAnsi" w:cstheme="minorHAnsi"/>
          <w:color w:val="006600"/>
          <w:sz w:val="24"/>
          <w:szCs w:val="24"/>
        </w:rPr>
      </w:pPr>
      <w: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lastRenderedPageBreak/>
        <w:t>5</w:t>
      </w:r>
      <w:r w:rsidR="00611D2E" w:rsidRPr="00611D2E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.2. QUININE</w:t>
      </w:r>
    </w:p>
    <w:p w:rsidR="00611D2E" w:rsidRPr="00992664" w:rsidRDefault="00611D2E" w:rsidP="00611D2E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Indications : </w:t>
      </w:r>
    </w:p>
    <w:p w:rsidR="00611D2E" w:rsidRPr="00611D2E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-Accès </w:t>
      </w:r>
      <w:r>
        <w:rPr>
          <w:rFonts w:asciiTheme="minorHAnsi" w:eastAsia="Times New Roman" w:hAnsiTheme="minorHAnsi" w:cstheme="minorHAnsi"/>
          <w:sz w:val="22"/>
          <w:szCs w:val="22"/>
        </w:rPr>
        <w:t>palustre(au paludisme) simple</w:t>
      </w: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 notamment pour les cas résistants aux autres antipaludiques (notamment les 4 aminiquinoleines ) </w:t>
      </w:r>
    </w:p>
    <w:p w:rsidR="00611D2E" w:rsidRPr="00611D2E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 xml:space="preserve">- </w:t>
      </w:r>
      <w:r>
        <w:rPr>
          <w:rFonts w:asciiTheme="minorHAnsi" w:eastAsia="Times New Roman" w:hAnsiTheme="minorHAnsi" w:cstheme="minorHAnsi"/>
          <w:sz w:val="22"/>
          <w:szCs w:val="22"/>
        </w:rPr>
        <w:t>En cas de vomissement, d'accès</w:t>
      </w:r>
      <w:r w:rsidR="007C1373">
        <w:rPr>
          <w:rFonts w:asciiTheme="minorHAnsi" w:eastAsia="Times New Roman" w:hAnsiTheme="minorHAnsi" w:cstheme="minorHAnsi"/>
          <w:sz w:val="22"/>
          <w:szCs w:val="22"/>
        </w:rPr>
        <w:t xml:space="preserve"> grave ou per nicieux la voie parentérale est préconisée.</w:t>
      </w:r>
    </w:p>
    <w:p w:rsidR="00611D2E" w:rsidRPr="00992664" w:rsidRDefault="00611D2E" w:rsidP="00611D2E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Posologie </w:t>
      </w:r>
      <w:r w:rsid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>:</w:t>
      </w:r>
    </w:p>
    <w:p w:rsidR="00611D2E" w:rsidRDefault="00992664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-</w:t>
      </w:r>
      <w:r w:rsidR="00030A3B">
        <w:rPr>
          <w:rFonts w:asciiTheme="minorHAnsi" w:eastAsia="Times New Roman" w:hAnsiTheme="minorHAnsi" w:cstheme="minorHAnsi"/>
          <w:sz w:val="22"/>
          <w:szCs w:val="22"/>
        </w:rPr>
        <w:t>24mg/Kg/H de quinine base (8mg/Kg toute les 8H)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par V.O pendant 5-7j</w:t>
      </w:r>
    </w:p>
    <w:p w:rsidR="00C873FF" w:rsidRDefault="00C873FF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La quinine</w:t>
      </w:r>
      <w:r w:rsidR="00992664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associé Clindamycine = Traitement 1ère intention femme </w:t>
      </w:r>
      <w:r w:rsidR="00992664">
        <w:rPr>
          <w:rFonts w:asciiTheme="minorHAnsi" w:eastAsia="Times New Roman" w:hAnsiTheme="minorHAnsi" w:cstheme="minorHAnsi"/>
          <w:sz w:val="22"/>
          <w:szCs w:val="22"/>
        </w:rPr>
        <w:t>enceinte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au cours du 1er Trimestre de grossesse</w:t>
      </w:r>
    </w:p>
    <w:p w:rsidR="003775DA" w:rsidRPr="00A95534" w:rsidRDefault="00992664" w:rsidP="00A95534">
      <w:pPr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-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Autres: Affection fébriles et ou </w:t>
      </w:r>
      <w:r>
        <w:rPr>
          <w:rFonts w:asciiTheme="minorHAnsi" w:eastAsia="Times New Roman" w:hAnsiTheme="minorHAnsi" w:cstheme="minorHAnsi"/>
          <w:sz w:val="22"/>
          <w:szCs w:val="22"/>
        </w:rPr>
        <w:t>douloureuses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Dans les é</w:t>
      </w:r>
      <w:r>
        <w:rPr>
          <w:rFonts w:asciiTheme="minorHAnsi" w:eastAsia="Times New Roman" w:hAnsiTheme="minorHAnsi" w:cstheme="minorHAnsi"/>
          <w:sz w:val="22"/>
          <w:szCs w:val="22"/>
        </w:rPr>
        <w:t>t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ats </w:t>
      </w:r>
      <w:r>
        <w:rPr>
          <w:rFonts w:asciiTheme="minorHAnsi" w:eastAsia="Times New Roman" w:hAnsiTheme="minorHAnsi" w:cstheme="minorHAnsi"/>
          <w:sz w:val="22"/>
          <w:szCs w:val="22"/>
        </w:rPr>
        <w:t>grippaux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 sous forme d'association avec un ou + PA: Ac ascorbique, </w:t>
      </w:r>
      <w:r>
        <w:rPr>
          <w:rFonts w:asciiTheme="minorHAnsi" w:eastAsia="Times New Roman" w:hAnsiTheme="minorHAnsi" w:cstheme="minorHAnsi"/>
          <w:sz w:val="22"/>
          <w:szCs w:val="22"/>
        </w:rPr>
        <w:t>caféine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>
        <w:rPr>
          <w:rFonts w:asciiTheme="minorHAnsi" w:eastAsia="Times New Roman" w:hAnsiTheme="minorHAnsi" w:cstheme="minorHAnsi"/>
          <w:sz w:val="22"/>
          <w:szCs w:val="22"/>
        </w:rPr>
        <w:t>codéine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 xml:space="preserve">, </w:t>
      </w:r>
      <w:r>
        <w:rPr>
          <w:rFonts w:asciiTheme="minorHAnsi" w:eastAsia="Times New Roman" w:hAnsiTheme="minorHAnsi" w:cstheme="minorHAnsi"/>
          <w:sz w:val="22"/>
          <w:szCs w:val="22"/>
        </w:rPr>
        <w:t>paracétamol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>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C873FF">
        <w:rPr>
          <w:rFonts w:asciiTheme="minorHAnsi" w:eastAsia="Times New Roman" w:hAnsiTheme="minorHAnsi" w:cstheme="minorHAnsi"/>
          <w:sz w:val="22"/>
          <w:szCs w:val="22"/>
        </w:rPr>
        <w:t>phenacetine</w:t>
      </w:r>
    </w:p>
    <w:p w:rsidR="00611D2E" w:rsidRPr="00992664" w:rsidRDefault="00992664" w:rsidP="00992664">
      <w:pPr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>Contre-indications</w:t>
      </w:r>
      <w:r w:rsidR="00611D2E" w:rsidRPr="00992664">
        <w:rPr>
          <w:rFonts w:asciiTheme="minorHAnsi" w:eastAsia="Times New Roman" w:hAnsiTheme="minorHAnsi" w:cstheme="minorHAnsi"/>
          <w:b/>
          <w:bCs/>
          <w:color w:val="E36C0A" w:themeColor="accent6" w:themeShade="BF"/>
          <w:sz w:val="22"/>
          <w:szCs w:val="22"/>
        </w:rPr>
        <w:t xml:space="preserve"> </w:t>
      </w:r>
    </w:p>
    <w:p w:rsidR="00611D2E" w:rsidRPr="00C873FF" w:rsidRDefault="00611D2E" w:rsidP="00611D2E">
      <w:pPr>
        <w:rPr>
          <w:rFonts w:asciiTheme="minorHAnsi" w:eastAsia="Times New Roman" w:hAnsiTheme="minorHAnsi" w:cstheme="minorHAnsi"/>
          <w:sz w:val="22"/>
          <w:szCs w:val="22"/>
        </w:rPr>
      </w:pPr>
      <w:r w:rsidRPr="00611D2E">
        <w:rPr>
          <w:rFonts w:asciiTheme="minorHAnsi" w:eastAsia="Times New Roman" w:hAnsiTheme="minorHAnsi" w:cstheme="minorHAnsi"/>
          <w:sz w:val="22"/>
          <w:szCs w:val="22"/>
        </w:rPr>
        <w:t>-</w:t>
      </w:r>
      <w:r w:rsidRPr="00C873FF">
        <w:rPr>
          <w:rFonts w:asciiTheme="minorHAnsi" w:eastAsia="Times New Roman" w:hAnsiTheme="minorHAnsi" w:cstheme="minorHAnsi"/>
          <w:sz w:val="22"/>
          <w:szCs w:val="22"/>
        </w:rPr>
        <w:t>troubles de la conduction auriculo-vestibulaire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-association à l’astémizole(anti allergique)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-femme enceinte (sauf en cas de résistance à la chloroquine)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-UGD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 A doses élevées : Troubles neurosensoriels (hypoacousie, bourdonnement d’oreille, troubles oculaires)et de conduction </w:t>
      </w:r>
      <w:r w:rsidR="00992664" w:rsidRPr="00C873FF">
        <w:rPr>
          <w:sz w:val="22"/>
          <w:szCs w:val="22"/>
        </w:rPr>
        <w:t>intra ventriculaires</w:t>
      </w:r>
      <w:r w:rsidRPr="00C873FF">
        <w:rPr>
          <w:sz w:val="22"/>
          <w:szCs w:val="22"/>
        </w:rPr>
        <w:t xml:space="preserve">, manifestations digestives. </w:t>
      </w:r>
    </w:p>
    <w:p w:rsidR="003775DA" w:rsidRDefault="00C873FF" w:rsidP="00C873FF">
      <w:pPr>
        <w:rPr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>Effets Indésirables :</w:t>
      </w:r>
      <w:r w:rsidRPr="00C873FF">
        <w:rPr>
          <w:sz w:val="22"/>
          <w:szCs w:val="22"/>
        </w:rPr>
        <w:t xml:space="preserve"> </w:t>
      </w:r>
    </w:p>
    <w:p w:rsidR="00C873FF" w:rsidRPr="00C873FF" w:rsidRDefault="00C873FF" w:rsidP="003775DA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Rares si les posologies sont respectées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-En cas d’hypersensibilité a la quinine : allergie cutanée et fièvre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-Risque de nausée, de diarrhées des troubles nerveux avec vertige et atteinte de 8éme paires des nerfs crâniens. </w:t>
      </w:r>
    </w:p>
    <w:p w:rsidR="00C873FF" w:rsidRPr="003775DA" w:rsidRDefault="00C873FF" w:rsidP="003775DA">
      <w:pPr>
        <w:rPr>
          <w:b/>
          <w:bCs/>
          <w:color w:val="E36C0A" w:themeColor="accent6" w:themeShade="BF"/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 xml:space="preserve">Interactions Médicamenteuses </w:t>
      </w:r>
    </w:p>
    <w:p w:rsidR="00C873FF" w:rsidRPr="00C873FF" w:rsidRDefault="00C873FF" w:rsidP="00C873FF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Potentialisation des anticoagulants pris simultanément </w:t>
      </w:r>
    </w:p>
    <w:p w:rsidR="003775DA" w:rsidRDefault="00C873FF" w:rsidP="00C873FF">
      <w:pPr>
        <w:rPr>
          <w:b/>
          <w:bCs/>
          <w:color w:val="E36C0A" w:themeColor="accent6" w:themeShade="BF"/>
          <w:sz w:val="22"/>
          <w:szCs w:val="22"/>
        </w:rPr>
      </w:pPr>
      <w:r w:rsidRPr="003775DA">
        <w:rPr>
          <w:b/>
          <w:bCs/>
          <w:color w:val="E36C0A" w:themeColor="accent6" w:themeShade="BF"/>
          <w:sz w:val="22"/>
          <w:szCs w:val="22"/>
        </w:rPr>
        <w:t>Spécialités</w:t>
      </w:r>
    </w:p>
    <w:p w:rsidR="00C873FF" w:rsidRPr="00C873FF" w:rsidRDefault="00C873FF" w:rsidP="003775DA">
      <w:pPr>
        <w:rPr>
          <w:sz w:val="22"/>
          <w:szCs w:val="22"/>
        </w:rPr>
      </w:pPr>
      <w:r w:rsidRPr="00C873FF">
        <w:rPr>
          <w:sz w:val="22"/>
          <w:szCs w:val="22"/>
        </w:rPr>
        <w:t xml:space="preserve"> </w:t>
      </w:r>
      <w:r w:rsidR="003775DA">
        <w:rPr>
          <w:sz w:val="22"/>
          <w:szCs w:val="22"/>
        </w:rPr>
        <w:t>(</w:t>
      </w:r>
      <w:r>
        <w:rPr>
          <w:sz w:val="22"/>
          <w:szCs w:val="22"/>
        </w:rPr>
        <w:t>Pas de spécialité à base de quiniquina ou de quinine commercialisé en Tunisie.</w:t>
      </w:r>
      <w:r w:rsidR="003775DA">
        <w:rPr>
          <w:sz w:val="22"/>
          <w:szCs w:val="22"/>
        </w:rPr>
        <w:t>)</w:t>
      </w:r>
    </w:p>
    <w:p w:rsidR="00C873FF" w:rsidRPr="00C873FF" w:rsidRDefault="00C873FF" w:rsidP="00C873FF">
      <w:pPr>
        <w:rPr>
          <w:sz w:val="22"/>
          <w:szCs w:val="22"/>
        </w:rPr>
      </w:pPr>
      <w:r w:rsidRPr="003775DA">
        <w:rPr>
          <w:b/>
          <w:bCs/>
          <w:color w:val="984806" w:themeColor="accent6" w:themeShade="80"/>
          <w:sz w:val="22"/>
          <w:szCs w:val="22"/>
        </w:rPr>
        <w:t xml:space="preserve">QUININE LAFRAN® </w:t>
      </w:r>
      <w:r>
        <w:rPr>
          <w:sz w:val="22"/>
          <w:szCs w:val="22"/>
        </w:rPr>
        <w:t xml:space="preserve">:CP </w:t>
      </w:r>
      <w:r w:rsidRPr="00C873FF">
        <w:rPr>
          <w:sz w:val="22"/>
          <w:szCs w:val="22"/>
        </w:rPr>
        <w:t>Cl</w:t>
      </w:r>
      <w:r>
        <w:rPr>
          <w:sz w:val="22"/>
          <w:szCs w:val="22"/>
        </w:rPr>
        <w:t xml:space="preserve">orrhydrate de quinine </w:t>
      </w:r>
      <w:r w:rsidRPr="00C873FF">
        <w:rPr>
          <w:sz w:val="22"/>
          <w:szCs w:val="22"/>
        </w:rPr>
        <w:t xml:space="preserve">(250,500 mg) </w:t>
      </w:r>
    </w:p>
    <w:p w:rsidR="007D4E6D" w:rsidRPr="00C873FF" w:rsidRDefault="00C873FF" w:rsidP="00096BFE">
      <w:pPr>
        <w:rPr>
          <w:sz w:val="22"/>
          <w:szCs w:val="22"/>
        </w:rPr>
      </w:pPr>
      <w:r w:rsidRPr="00C873FF">
        <w:rPr>
          <w:i/>
          <w:iCs/>
          <w:sz w:val="22"/>
          <w:szCs w:val="22"/>
        </w:rPr>
        <w:t>Remarque : utilisation en homéopathie(</w:t>
      </w:r>
      <w:r w:rsidR="00096BFE">
        <w:rPr>
          <w:i/>
          <w:iCs/>
          <w:sz w:val="22"/>
          <w:szCs w:val="22"/>
        </w:rPr>
        <w:t>Chine</w:t>
      </w:r>
      <w:r w:rsidRPr="00C873FF">
        <w:rPr>
          <w:i/>
          <w:iCs/>
          <w:sz w:val="22"/>
          <w:szCs w:val="22"/>
        </w:rPr>
        <w:t>)</w:t>
      </w:r>
    </w:p>
    <w:p w:rsidR="007D4E6D" w:rsidRPr="00C873FF" w:rsidRDefault="007D4E6D" w:rsidP="00C23485">
      <w:pPr>
        <w:jc w:val="center"/>
        <w:rPr>
          <w:sz w:val="22"/>
          <w:szCs w:val="22"/>
        </w:rPr>
      </w:pPr>
    </w:p>
    <w:p w:rsidR="007D4E6D" w:rsidRPr="00C873FF" w:rsidRDefault="007D4E6D" w:rsidP="00C23485">
      <w:pPr>
        <w:jc w:val="center"/>
        <w:rPr>
          <w:sz w:val="22"/>
          <w:szCs w:val="22"/>
        </w:rPr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A95534" w:rsidRDefault="00A95534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CC28DB" w:rsidRDefault="00CC28DB" w:rsidP="00C23485">
      <w:pPr>
        <w:jc w:val="center"/>
      </w:pPr>
    </w:p>
    <w:p w:rsidR="00CC28DB" w:rsidRDefault="00156ABF" w:rsidP="00C23485">
      <w:pPr>
        <w:jc w:val="center"/>
      </w:pPr>
      <w:r>
        <w:rPr>
          <w:noProof/>
        </w:rPr>
        <w:lastRenderedPageBreak/>
        <w:pict>
          <v:shape id="_x0000_s1036" type="#_x0000_t202" style="position:absolute;left:0;text-align:left;margin-left:118.9pt;margin-top:-8.85pt;width:558.75pt;height:54.75pt;z-index:251666432" strokeweight="1.5pt">
            <v:textbox>
              <w:txbxContent>
                <w:p w:rsidR="007D4E6D" w:rsidRPr="00832FDC" w:rsidRDefault="007D4E6D" w:rsidP="007D4E6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color w:val="7030A0"/>
                      <w:sz w:val="40"/>
                      <w:szCs w:val="40"/>
                    </w:rPr>
                    <w:t xml:space="preserve">ARMOISE ANNUELLE:   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ARTMISA. ANNUA L. QINGHAO</w:t>
                  </w:r>
                </w:p>
                <w:p w:rsidR="007D4E6D" w:rsidRPr="00832FDC" w:rsidRDefault="007D4E6D" w:rsidP="007D4E6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</w:pP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(</w:t>
                  </w:r>
                  <w:r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ASTERACEAE</w:t>
                  </w:r>
                  <w:r w:rsidRPr="00832FDC">
                    <w:rPr>
                      <w:rFonts w:asciiTheme="majorBidi" w:hAnsiTheme="majorBidi" w:cstheme="majorBidi"/>
                      <w:b/>
                      <w:bCs/>
                      <w:color w:val="5F497A" w:themeColor="accent4" w:themeShade="BF"/>
                      <w:sz w:val="40"/>
                      <w:szCs w:val="40"/>
                    </w:rPr>
                    <w:t>)</w:t>
                  </w:r>
                </w:p>
              </w:txbxContent>
            </v:textbox>
          </v:shape>
        </w:pict>
      </w: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7D4E6D" w:rsidRDefault="007D4E6D" w:rsidP="00C23485">
      <w:pPr>
        <w:jc w:val="center"/>
      </w:pPr>
    </w:p>
    <w:p w:rsidR="00CC28DB" w:rsidRDefault="00CC28DB" w:rsidP="00CC28DB"/>
    <w:p w:rsidR="000D22FA" w:rsidRDefault="000D22FA" w:rsidP="00CC28DB"/>
    <w:p w:rsidR="00CC28DB" w:rsidRPr="00CB133F" w:rsidRDefault="00CC28DB" w:rsidP="00CC28DB">
      <w:pPr>
        <w:rPr>
          <w:rFonts w:asciiTheme="minorHAnsi" w:eastAsia="Arial" w:hAnsiTheme="minorHAnsi" w:cstheme="minorHAnsi"/>
          <w:b/>
          <w:bCs/>
          <w:i/>
          <w:sz w:val="22"/>
          <w:szCs w:val="22"/>
        </w:rPr>
      </w:pPr>
      <w:r w:rsidRPr="00CB133F">
        <w:rPr>
          <w:rFonts w:asciiTheme="minorHAnsi" w:eastAsia="Arial" w:hAnsiTheme="minorHAnsi" w:cstheme="minorHAnsi"/>
          <w:b/>
          <w:bCs/>
          <w:iCs/>
          <w:color w:val="984806" w:themeColor="accent6" w:themeShade="80"/>
          <w:sz w:val="22"/>
          <w:szCs w:val="22"/>
        </w:rPr>
        <w:t xml:space="preserve">Drogue: </w:t>
      </w:r>
      <w:r w:rsidRPr="00CB133F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>Parties aériennes (plante herbacée)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0C67E9" w:rsidP="00F5429B">
      <w:pPr>
        <w:pStyle w:val="Titre1"/>
        <w:rPr>
          <w:szCs w:val="20"/>
        </w:rPr>
      </w:pPr>
      <w:r>
        <w:rPr>
          <w:szCs w:val="20"/>
        </w:rPr>
        <w:t>1</w:t>
      </w:r>
      <w:r w:rsidR="00CC28DB" w:rsidRPr="00F5429B">
        <w:rPr>
          <w:szCs w:val="20"/>
        </w:rPr>
        <w:t>. COMPOSITION CHIMIQUE</w:t>
      </w:r>
    </w:p>
    <w:p w:rsidR="00F5429B" w:rsidRDefault="00CC28DB" w:rsidP="00CC28DB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F5429B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>Principe Actif :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sesquiterpène lactone=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>artémisinine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(« Quinghaousu ») :0,01 et 0,5 % 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eastAsia="Arial" w:cs="Calibri"/>
          <w:sz w:val="22"/>
          <w:szCs w:val="22"/>
        </w:rPr>
        <w:t xml:space="preserve">-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Autres sesquiterpenes a squelette cardinane :artéannuine B ,Acide artémisinique (ac  artéannuique) </w:t>
      </w:r>
    </w:p>
    <w:p w:rsidR="00EB31DF" w:rsidRDefault="00CC28DB" w:rsidP="00F5429B">
      <w:pPr>
        <w:rPr>
          <w:rFonts w:asciiTheme="minorHAnsi" w:eastAsia="Arial" w:hAnsiTheme="minorHAnsi" w:cstheme="minorHAnsi"/>
          <w:sz w:val="22"/>
          <w:szCs w:val="22"/>
        </w:rPr>
      </w:pPr>
      <w:r w:rsidRPr="00EB31DF">
        <w:rPr>
          <w:rFonts w:asciiTheme="minorHAnsi" w:eastAsia="Arial" w:hAnsiTheme="minorHAnsi" w:cstheme="minorHAnsi"/>
          <w:b/>
          <w:bCs/>
          <w:color w:val="006600"/>
          <w:sz w:val="22"/>
          <w:szCs w:val="22"/>
        </w:rPr>
        <w:t>Dérivés hémi-synthétiques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:</w:t>
      </w:r>
    </w:p>
    <w:p w:rsidR="00CC28DB" w:rsidRPr="00CB133F" w:rsidRDefault="00CC28DB" w:rsidP="00F5429B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alpha et beta arteméthers , arteéther, artesunate sodique </w:t>
      </w:r>
    </w:p>
    <w:p w:rsidR="00CC28DB" w:rsidRPr="00CB133F" w:rsidRDefault="00CC28DB" w:rsidP="00CC28DB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0C67E9" w:rsidP="00F5429B">
      <w:pPr>
        <w:pStyle w:val="Titre1"/>
        <w:rPr>
          <w:szCs w:val="20"/>
        </w:rPr>
      </w:pPr>
      <w:r>
        <w:rPr>
          <w:szCs w:val="20"/>
        </w:rPr>
        <w:t>2</w:t>
      </w:r>
      <w:r w:rsidR="00CC28DB" w:rsidRPr="00F5429B">
        <w:rPr>
          <w:szCs w:val="20"/>
        </w:rPr>
        <w:t>. ACTION PHARMACOLOGIQUE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b/>
          <w:color w:val="006600"/>
          <w:sz w:val="22"/>
          <w:szCs w:val="22"/>
          <w:u w:val="single"/>
        </w:rPr>
      </w:pPr>
    </w:p>
    <w:p w:rsidR="002562CD" w:rsidRPr="00E5625D" w:rsidRDefault="002562CD" w:rsidP="002562CD">
      <w:pPr>
        <w:rPr>
          <w:rFonts w:asciiTheme="minorHAnsi" w:eastAsia="Arial" w:hAnsiTheme="minorHAnsi" w:cstheme="minorHAnsi"/>
          <w:b/>
          <w:color w:val="006600"/>
          <w:sz w:val="24"/>
          <w:szCs w:val="24"/>
          <w:u w:val="single"/>
        </w:rPr>
      </w:pPr>
      <w:r w:rsidRPr="00E5625D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 xml:space="preserve">Artémisinine et dérivés hémi-synthétiques : 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-Ils sont des anti malariques :sont des schizonticides curatifs puissants actifs sur les formes endoérythrocytaires de divers plasmodium(P. vivax ,P. falciparum et P. ovale) y compris les souches résistantes aux autres antipaludiques (chloroquine ) . </w:t>
      </w:r>
    </w:p>
    <w:p w:rsidR="00CC28DB" w:rsidRPr="00CB133F" w:rsidRDefault="002562CD" w:rsidP="002562CD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-l’artémisinine est toxique sur </w:t>
      </w:r>
      <w:r w:rsidRPr="00CB133F">
        <w:rPr>
          <w:rFonts w:asciiTheme="minorHAnsi" w:eastAsia="Arial" w:hAnsiTheme="minorHAnsi" w:cstheme="minorHAnsi"/>
          <w:i/>
          <w:iCs/>
          <w:sz w:val="22"/>
          <w:szCs w:val="22"/>
        </w:rPr>
        <w:t>P.falciparum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in vivo, in vitro à des concentrations nano molaires  sur les premiers stades des gamétocytes.</w:t>
      </w:r>
      <w:r w:rsidR="00CC28DB" w:rsidRPr="00CB133F">
        <w:rPr>
          <w:rFonts w:asciiTheme="minorHAnsi" w:eastAsia="Arial" w:hAnsiTheme="minorHAnsi" w:cstheme="minorHAnsi"/>
          <w:sz w:val="22"/>
          <w:szCs w:val="22"/>
        </w:rPr>
        <w:t>.</w:t>
      </w:r>
    </w:p>
    <w:p w:rsidR="002562CD" w:rsidRPr="00CB133F" w:rsidRDefault="002562CD" w:rsidP="002562CD">
      <w:pPr>
        <w:rPr>
          <w:rFonts w:asciiTheme="minorHAnsi" w:eastAsia="Arial" w:hAnsiTheme="minorHAnsi" w:cstheme="minorHAnsi"/>
          <w:b/>
          <w:bCs/>
          <w:color w:val="006600"/>
          <w:sz w:val="22"/>
          <w:szCs w:val="22"/>
          <w:u w:val="single"/>
        </w:rPr>
      </w:pPr>
    </w:p>
    <w:p w:rsidR="002562CD" w:rsidRPr="00E5625D" w:rsidRDefault="002562CD" w:rsidP="00CC4540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</w:pPr>
      <w:r w:rsidRPr="00E5625D">
        <w:rPr>
          <w:rFonts w:asciiTheme="minorHAnsi" w:eastAsia="Arial" w:hAnsiTheme="minorHAnsi" w:cstheme="minorHAnsi"/>
          <w:b/>
          <w:bCs/>
          <w:color w:val="006600"/>
          <w:sz w:val="24"/>
          <w:szCs w:val="24"/>
          <w:u w:val="single"/>
        </w:rPr>
        <w:t xml:space="preserve">Action liée à la structure peroxydique des P.A. </w:t>
      </w:r>
    </w:p>
    <w:p w:rsidR="002562CD" w:rsidRPr="00CB133F" w:rsidRDefault="002562CD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 formation d’adduits avec l’hémine  et sa forme ferreuse résultant de la digestion de l’</w:t>
      </w:r>
      <w:r w:rsidR="00A7256A" w:rsidRPr="00CB133F">
        <w:rPr>
          <w:rFonts w:asciiTheme="minorHAnsi" w:eastAsia="Arial" w:hAnsiTheme="minorHAnsi" w:cstheme="minorHAnsi"/>
          <w:sz w:val="22"/>
          <w:szCs w:val="22"/>
        </w:rPr>
        <w:t>hémoglobine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par le parasite .</w:t>
      </w:r>
    </w:p>
    <w:p w:rsidR="005822B4" w:rsidRPr="00CB133F" w:rsidRDefault="005822B4" w:rsidP="00CC4540">
      <w:pPr>
        <w:rPr>
          <w:rFonts w:asciiTheme="minorHAnsi" w:eastAsia="Arial" w:hAnsiTheme="minorHAnsi" w:cstheme="minorHAnsi"/>
          <w:b/>
          <w:color w:val="0070C0"/>
          <w:sz w:val="22"/>
          <w:szCs w:val="22"/>
        </w:rPr>
      </w:pPr>
    </w:p>
    <w:p w:rsidR="00CC28DB" w:rsidRPr="00F5429B" w:rsidRDefault="000C67E9" w:rsidP="00F5429B">
      <w:pPr>
        <w:pStyle w:val="Titre1"/>
        <w:rPr>
          <w:szCs w:val="20"/>
        </w:rPr>
      </w:pPr>
      <w:r>
        <w:rPr>
          <w:szCs w:val="20"/>
        </w:rPr>
        <w:t>3</w:t>
      </w:r>
      <w:r w:rsidR="00CC28DB" w:rsidRPr="00F5429B">
        <w:rPr>
          <w:szCs w:val="20"/>
        </w:rPr>
        <w:t>. EMPLOIS</w:t>
      </w:r>
      <w:r w:rsidR="002562CD" w:rsidRPr="00F5429B">
        <w:rPr>
          <w:szCs w:val="20"/>
        </w:rPr>
        <w:t xml:space="preserve"> des dérivés de l'Artemésinine (Nouveau!!!)</w:t>
      </w:r>
    </w:p>
    <w:p w:rsidR="00FE315B" w:rsidRPr="00FE315B" w:rsidRDefault="00FE315B" w:rsidP="009639FF">
      <w:pPr>
        <w:rPr>
          <w:rFonts w:asciiTheme="minorHAnsi" w:eastAsia="Arial" w:hAnsiTheme="minorHAnsi" w:cstheme="minorHAnsi"/>
          <w:b/>
          <w:bCs/>
          <w:color w:val="006600"/>
          <w:sz w:val="12"/>
          <w:szCs w:val="12"/>
        </w:rPr>
      </w:pPr>
    </w:p>
    <w:p w:rsidR="00CC28DB" w:rsidRPr="00FE315B" w:rsidRDefault="00A7256A" w:rsidP="009639FF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FE315B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En Monothérapie:</w:t>
      </w:r>
    </w:p>
    <w:p w:rsidR="0037247E" w:rsidRPr="00CB133F" w:rsidRDefault="00A7256A" w:rsidP="00C464CE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Les dérivés de l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>'artémisinine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évalués par % à d'autres antipaludiques, ont une efficacité clinique souvent plus rapides mais les recrudescence plus fréquentes</w:t>
      </w:r>
    </w:p>
    <w:p w:rsidR="00A7256A" w:rsidRPr="00FE315B" w:rsidRDefault="00A7256A" w:rsidP="00FE315B">
      <w:pPr>
        <w:rPr>
          <w:rFonts w:asciiTheme="minorHAnsi" w:eastAsia="Arial" w:hAnsiTheme="minorHAnsi" w:cstheme="minorHAnsi"/>
          <w:sz w:val="22"/>
          <w:szCs w:val="22"/>
        </w:rPr>
      </w:pPr>
      <w:r w:rsidRPr="00FE315B">
        <w:rPr>
          <w:rFonts w:asciiTheme="minorHAnsi" w:eastAsia="Arial" w:hAnsiTheme="minorHAnsi" w:cstheme="minorHAnsi"/>
          <w:sz w:val="22"/>
          <w:szCs w:val="22"/>
          <w:u w:val="single"/>
        </w:rPr>
        <w:t>R</w:t>
      </w:r>
      <w:r w:rsidR="00FE315B" w:rsidRPr="00FE315B">
        <w:rPr>
          <w:rFonts w:asciiTheme="minorHAnsi" w:eastAsia="Arial" w:hAnsiTheme="minorHAnsi" w:cstheme="minorHAnsi"/>
          <w:sz w:val="22"/>
          <w:szCs w:val="22"/>
          <w:u w:val="single"/>
        </w:rPr>
        <w:t>emarque</w:t>
      </w:r>
      <w:r w:rsidRPr="00FE315B">
        <w:rPr>
          <w:rFonts w:asciiTheme="minorHAnsi" w:eastAsia="Arial" w:hAnsiTheme="minorHAnsi" w:cstheme="minorHAnsi"/>
          <w:sz w:val="22"/>
          <w:szCs w:val="22"/>
          <w:u w:val="single"/>
        </w:rPr>
        <w:t>: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l'utilistation continue en monothérapie à base d'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Pr="00CB133F">
        <w:rPr>
          <w:rFonts w:asciiTheme="minorHAnsi" w:eastAsia="Arial" w:hAnsiTheme="minorHAnsi" w:cstheme="minorHAnsi"/>
          <w:sz w:val="22"/>
          <w:szCs w:val="22"/>
        </w:rPr>
        <w:t>per os est considérée</w:t>
      </w:r>
      <w:r w:rsidR="00FE315B">
        <w:rPr>
          <w:rFonts w:asciiTheme="minorHAnsi" w:eastAsia="Arial" w:hAnsiTheme="minorHAnsi" w:cstheme="minorHAnsi"/>
          <w:sz w:val="22"/>
          <w:szCs w:val="22"/>
        </w:rPr>
        <w:t xml:space="preserve"> comme un facteur 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majeur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contribuant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au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développement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de la résistance à l'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et ses dérivés.</w:t>
      </w:r>
    </w:p>
    <w:p w:rsidR="00A7256A" w:rsidRDefault="00A7256A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5822B4" w:rsidRPr="00FE315B" w:rsidRDefault="005822B4" w:rsidP="00A7256A">
      <w:pPr>
        <w:rPr>
          <w:rFonts w:asciiTheme="minorHAnsi" w:eastAsia="Arial" w:hAnsiTheme="minorHAnsi" w:cstheme="minorHAnsi"/>
          <w:sz w:val="16"/>
          <w:szCs w:val="16"/>
        </w:rPr>
      </w:pPr>
    </w:p>
    <w:p w:rsidR="00A7256A" w:rsidRPr="00FE315B" w:rsidRDefault="00A7256A" w:rsidP="00A7256A">
      <w:pPr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</w:pPr>
      <w:r w:rsidRPr="00FE315B">
        <w:rPr>
          <w:rFonts w:asciiTheme="minorHAnsi" w:eastAsia="Arial" w:hAnsiTheme="minorHAnsi" w:cstheme="minorHAnsi"/>
          <w:b/>
          <w:bCs/>
          <w:color w:val="006600"/>
          <w:sz w:val="24"/>
          <w:szCs w:val="24"/>
        </w:rPr>
        <w:t>Combainaison Thérapeutique à base d'Artémisinine: CTA</w:t>
      </w:r>
    </w:p>
    <w:p w:rsidR="00A7256A" w:rsidRPr="00CB133F" w:rsidRDefault="00A7256A" w:rsidP="00A7256A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Luméfantine</w:t>
      </w:r>
    </w:p>
    <w:p w:rsidR="00A7256A" w:rsidRPr="00CB133F" w:rsidRDefault="00A7256A" w:rsidP="00A7256A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 xml:space="preserve"> pipéraquine</w:t>
      </w:r>
    </w:p>
    <w:p w:rsidR="00F440B0" w:rsidRPr="00CB133F" w:rsidRDefault="00A7256A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 xml:space="preserve"> Amodiaquine</w:t>
      </w:r>
    </w:p>
    <w:p w:rsidR="00F440B0" w:rsidRPr="00CB133F" w:rsidRDefault="00A7256A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cs="Calibri"/>
          <w:b/>
          <w:bCs/>
          <w:sz w:val="22"/>
          <w:szCs w:val="22"/>
        </w:rPr>
        <w:t>•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Meflaquine</w:t>
      </w:r>
    </w:p>
    <w:p w:rsidR="00F440B0" w:rsidRPr="00CB133F" w:rsidRDefault="00426690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Artésunate - sulfdadoxine - pyriméthamine</w:t>
      </w:r>
    </w:p>
    <w:p w:rsidR="00426690" w:rsidRPr="00CB133F" w:rsidRDefault="00426690" w:rsidP="00F440B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Administrés pendant au (-) 3j, le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choix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de la CTA dépend de la zone géographique.</w:t>
      </w:r>
    </w:p>
    <w:p w:rsidR="00426690" w:rsidRPr="00CB133F" w:rsidRDefault="00FE315B" w:rsidP="00F440B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Ces associations, plus efficaces que les Traitements habituels, constituent actuellement le Traitem</w:t>
      </w:r>
      <w:r w:rsidR="00CC4540" w:rsidRPr="00CB133F">
        <w:rPr>
          <w:rFonts w:asciiTheme="minorHAnsi" w:eastAsia="Arial" w:hAnsiTheme="minorHAnsi" w:cstheme="minorHAnsi"/>
          <w:sz w:val="22"/>
          <w:szCs w:val="22"/>
        </w:rPr>
        <w:t>ent 1ère intention P.falciparum</w:t>
      </w:r>
    </w:p>
    <w:p w:rsidR="00426690" w:rsidRPr="00CB133F" w:rsidRDefault="00FE315B" w:rsidP="00CC454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L'OMS recommande de retirer du marché les monothérapies à base d'</w:t>
      </w:r>
      <w:r w:rsidR="00426690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per OS</w:t>
      </w:r>
    </w:p>
    <w:p w:rsidR="00FE315B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FE315B">
        <w:rPr>
          <w:rFonts w:asciiTheme="minorHAnsi" w:eastAsia="Arial" w:hAnsiTheme="minorHAnsi" w:cstheme="minorHAnsi"/>
          <w:b/>
          <w:bCs/>
          <w:color w:val="0070C0"/>
          <w:sz w:val="22"/>
          <w:szCs w:val="22"/>
        </w:rPr>
        <w:t>Les formes graves du paludisme: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:rsidR="00426690" w:rsidRPr="00CB133F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 xml:space="preserve">Enfants femme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enceinte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et </w:t>
      </w:r>
      <w:r w:rsidR="00FE315B" w:rsidRPr="00CB133F">
        <w:rPr>
          <w:rFonts w:asciiTheme="minorHAnsi" w:eastAsia="Arial" w:hAnsiTheme="minorHAnsi" w:cstheme="minorHAnsi"/>
          <w:sz w:val="22"/>
          <w:szCs w:val="22"/>
        </w:rPr>
        <w:t>allaitante</w:t>
      </w:r>
      <w:r w:rsidRPr="00CB133F">
        <w:rPr>
          <w:rFonts w:asciiTheme="minorHAnsi" w:eastAsia="Arial" w:hAnsiTheme="minorHAnsi" w:cstheme="minorHAnsi"/>
          <w:sz w:val="22"/>
          <w:szCs w:val="22"/>
        </w:rPr>
        <w:t xml:space="preserve"> sont traité par l'</w:t>
      </w:r>
      <w:r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Artémisinine </w:t>
      </w:r>
      <w:r w:rsidRPr="00CB133F">
        <w:rPr>
          <w:rFonts w:asciiTheme="minorHAnsi" w:eastAsia="Arial" w:hAnsiTheme="minorHAnsi" w:cstheme="minorHAnsi"/>
          <w:sz w:val="22"/>
          <w:szCs w:val="22"/>
        </w:rPr>
        <w:t>en IV ou en IM pendant au moins 24H et jusqu'à qu'une médication par voie orale puisse être tolérée.</w:t>
      </w:r>
    </w:p>
    <w:p w:rsidR="00426690" w:rsidRPr="00CB133F" w:rsidRDefault="00FE315B" w:rsidP="00CC4540">
      <w:pPr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*</w:t>
      </w:r>
      <w:r w:rsidR="00426690" w:rsidRPr="00CB133F">
        <w:rPr>
          <w:rFonts w:asciiTheme="minorHAnsi" w:eastAsia="Arial" w:hAnsiTheme="minorHAnsi" w:cstheme="minorHAnsi"/>
          <w:sz w:val="22"/>
          <w:szCs w:val="22"/>
        </w:rPr>
        <w:t>Pour le cas de Malariae à P. vivax résistants à la chlorquine des CTA complété par la Primaquine</w:t>
      </w:r>
    </w:p>
    <w:p w:rsidR="00426690" w:rsidRPr="00FE315B" w:rsidRDefault="00426690" w:rsidP="00426690">
      <w:pPr>
        <w:rPr>
          <w:rFonts w:asciiTheme="minorHAnsi" w:eastAsia="Arial" w:hAnsiTheme="minorHAnsi" w:cstheme="minorHAnsi"/>
          <w:b/>
          <w:bCs/>
          <w:color w:val="E36C0A" w:themeColor="accent6" w:themeShade="BF"/>
          <w:sz w:val="22"/>
          <w:szCs w:val="22"/>
        </w:rPr>
      </w:pPr>
      <w:r w:rsidRPr="00FE315B">
        <w:rPr>
          <w:rFonts w:asciiTheme="minorHAnsi" w:eastAsia="Arial" w:hAnsiTheme="minorHAnsi" w:cstheme="minorHAnsi"/>
          <w:b/>
          <w:bCs/>
          <w:color w:val="E36C0A" w:themeColor="accent6" w:themeShade="BF"/>
          <w:sz w:val="22"/>
          <w:szCs w:val="22"/>
        </w:rPr>
        <w:t>Posologie:</w:t>
      </w:r>
    </w:p>
    <w:p w:rsidR="00426690" w:rsidRPr="00CB133F" w:rsidRDefault="00426690" w:rsidP="00426690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-Chez l'enfant de (-) de 25 Kg = Association dihydroartemisinine+ pipéraquine: au (-) 2.5mg</w:t>
      </w:r>
      <w:r w:rsidR="006F23DA" w:rsidRPr="00CB133F">
        <w:rPr>
          <w:rFonts w:asciiTheme="minorHAnsi" w:eastAsia="Arial" w:hAnsiTheme="minorHAnsi" w:cstheme="minorHAnsi"/>
          <w:sz w:val="22"/>
          <w:szCs w:val="22"/>
        </w:rPr>
        <w:t>/Kg de poids corporel/J de dihydro</w:t>
      </w:r>
      <w:r w:rsidR="006F23DA" w:rsidRPr="00CB133F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artémisinine </w:t>
      </w:r>
      <w:r w:rsidR="006F23DA" w:rsidRPr="00CB133F">
        <w:rPr>
          <w:rFonts w:asciiTheme="minorHAnsi" w:eastAsia="Arial" w:hAnsiTheme="minorHAnsi" w:cstheme="minorHAnsi"/>
          <w:sz w:val="22"/>
          <w:szCs w:val="22"/>
        </w:rPr>
        <w:t>et 20mg/Kg de p.c/j de pipéraquine pendant 3j.</w:t>
      </w:r>
    </w:p>
    <w:p w:rsidR="005D3011" w:rsidRPr="008178A4" w:rsidRDefault="006F23DA" w:rsidP="008178A4">
      <w:pPr>
        <w:rPr>
          <w:rFonts w:asciiTheme="minorHAnsi" w:eastAsia="Arial" w:hAnsiTheme="minorHAnsi" w:cstheme="minorHAnsi"/>
          <w:sz w:val="22"/>
          <w:szCs w:val="22"/>
        </w:rPr>
      </w:pPr>
      <w:r w:rsidRPr="00CB133F">
        <w:rPr>
          <w:rFonts w:asciiTheme="minorHAnsi" w:eastAsia="Arial" w:hAnsiTheme="minorHAnsi" w:cstheme="minorHAnsi"/>
          <w:sz w:val="22"/>
          <w:szCs w:val="22"/>
        </w:rPr>
        <w:t>-Chez l'enfant de - de 5KG infecté par P.falciparum: Traitement par une CTA avec les mêmes do</w:t>
      </w:r>
      <w:r w:rsidR="00CB133F">
        <w:rPr>
          <w:rFonts w:asciiTheme="minorHAnsi" w:eastAsia="Arial" w:hAnsiTheme="minorHAnsi" w:cstheme="minorHAnsi"/>
          <w:sz w:val="22"/>
          <w:szCs w:val="22"/>
        </w:rPr>
        <w:t>ses que pour l'enfant de - 25Kg</w:t>
      </w:r>
    </w:p>
    <w:p w:rsidR="005D3011" w:rsidRPr="00A63E93" w:rsidRDefault="005D3011"/>
    <w:sectPr w:rsidR="005D3011" w:rsidRPr="00A63E93" w:rsidSect="00CB59E7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EFB" w:rsidRDefault="000C3EFB" w:rsidP="00CB59E7">
      <w:r>
        <w:separator/>
      </w:r>
    </w:p>
  </w:endnote>
  <w:endnote w:type="continuationSeparator" w:id="1">
    <w:p w:rsidR="000C3EFB" w:rsidRDefault="000C3EFB" w:rsidP="00CB5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EFB" w:rsidRDefault="000C3EFB" w:rsidP="00CB59E7">
      <w:r>
        <w:separator/>
      </w:r>
    </w:p>
  </w:footnote>
  <w:footnote w:type="continuationSeparator" w:id="1">
    <w:p w:rsidR="000C3EFB" w:rsidRDefault="000C3EFB" w:rsidP="00CB59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41B71EFA"/>
    <w:lvl w:ilvl="0" w:tplc="FFFFFFFF">
      <w:start w:val="1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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515F007C"/>
    <w:lvl w:ilvl="0" w:tplc="FFFFFFFF">
      <w:start w:val="2"/>
      <w:numFmt w:val="decimal"/>
      <w:lvlText w:val="3.%1."/>
      <w:lvlJc w:val="left"/>
    </w:lvl>
    <w:lvl w:ilvl="1" w:tplc="FFFFFFFF">
      <w:start w:val="1"/>
      <w:numFmt w:val="bullet"/>
      <w:lvlText w:val="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5BD062C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1220085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DB127F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0216231A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1F16E9E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1190CDE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66EF438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140E0F7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52514043"/>
    <w:multiLevelType w:val="hybridMultilevel"/>
    <w:tmpl w:val="EFC27B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C40599"/>
    <w:multiLevelType w:val="hybridMultilevel"/>
    <w:tmpl w:val="F99EE67A"/>
    <w:lvl w:ilvl="0" w:tplc="040C000B">
      <w:start w:val="1"/>
      <w:numFmt w:val="bullet"/>
      <w:lvlText w:val=""/>
      <w:lvlJc w:val="left"/>
      <w:pPr>
        <w:ind w:left="106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2201"/>
    <w:rsid w:val="00030A3B"/>
    <w:rsid w:val="0007520A"/>
    <w:rsid w:val="00096BFE"/>
    <w:rsid w:val="000A2442"/>
    <w:rsid w:val="000B289D"/>
    <w:rsid w:val="000C3EFB"/>
    <w:rsid w:val="000C67E9"/>
    <w:rsid w:val="000D22FA"/>
    <w:rsid w:val="001053CA"/>
    <w:rsid w:val="00156ABF"/>
    <w:rsid w:val="002562CD"/>
    <w:rsid w:val="00274AA1"/>
    <w:rsid w:val="0037247E"/>
    <w:rsid w:val="003775DA"/>
    <w:rsid w:val="003A27E0"/>
    <w:rsid w:val="003A45B0"/>
    <w:rsid w:val="003E5CEE"/>
    <w:rsid w:val="00426690"/>
    <w:rsid w:val="004422C8"/>
    <w:rsid w:val="004826AE"/>
    <w:rsid w:val="0048708F"/>
    <w:rsid w:val="004B69C8"/>
    <w:rsid w:val="005822B4"/>
    <w:rsid w:val="005A4B0A"/>
    <w:rsid w:val="005B64D9"/>
    <w:rsid w:val="005D3011"/>
    <w:rsid w:val="00611D2E"/>
    <w:rsid w:val="006255FA"/>
    <w:rsid w:val="006A6386"/>
    <w:rsid w:val="006B4626"/>
    <w:rsid w:val="006F23DA"/>
    <w:rsid w:val="00713ADD"/>
    <w:rsid w:val="007166EE"/>
    <w:rsid w:val="00750C1B"/>
    <w:rsid w:val="007C1373"/>
    <w:rsid w:val="007D4E6D"/>
    <w:rsid w:val="008178A4"/>
    <w:rsid w:val="00832FDC"/>
    <w:rsid w:val="00833935"/>
    <w:rsid w:val="00870F5B"/>
    <w:rsid w:val="008A2022"/>
    <w:rsid w:val="009639FF"/>
    <w:rsid w:val="00975B0E"/>
    <w:rsid w:val="00985420"/>
    <w:rsid w:val="00992664"/>
    <w:rsid w:val="009B286E"/>
    <w:rsid w:val="009B7794"/>
    <w:rsid w:val="00A63E93"/>
    <w:rsid w:val="00A7256A"/>
    <w:rsid w:val="00A95534"/>
    <w:rsid w:val="00AC7990"/>
    <w:rsid w:val="00B92201"/>
    <w:rsid w:val="00BC3A53"/>
    <w:rsid w:val="00BE53DA"/>
    <w:rsid w:val="00BF737B"/>
    <w:rsid w:val="00C23485"/>
    <w:rsid w:val="00C464CE"/>
    <w:rsid w:val="00C46709"/>
    <w:rsid w:val="00C873FF"/>
    <w:rsid w:val="00CB133F"/>
    <w:rsid w:val="00CB59E7"/>
    <w:rsid w:val="00CC28DB"/>
    <w:rsid w:val="00CC4536"/>
    <w:rsid w:val="00CC4540"/>
    <w:rsid w:val="00D201A9"/>
    <w:rsid w:val="00D7089B"/>
    <w:rsid w:val="00D80F35"/>
    <w:rsid w:val="00E3154E"/>
    <w:rsid w:val="00E5625D"/>
    <w:rsid w:val="00E92C53"/>
    <w:rsid w:val="00EB31DF"/>
    <w:rsid w:val="00F440B0"/>
    <w:rsid w:val="00F53F24"/>
    <w:rsid w:val="00F5429B"/>
    <w:rsid w:val="00F6179C"/>
    <w:rsid w:val="00F94DAD"/>
    <w:rsid w:val="00FE315B"/>
    <w:rsid w:val="00FE7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08F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2C53"/>
    <w:pPr>
      <w:keepNext/>
      <w:keepLines/>
      <w:pBdr>
        <w:bottom w:val="single" w:sz="8" w:space="1" w:color="FF0000"/>
      </w:pBdr>
      <w:outlineLvl w:val="0"/>
    </w:pPr>
    <w:rPr>
      <w:rFonts w:asciiTheme="minorHAnsi" w:eastAsiaTheme="majorEastAsia" w:hAnsiTheme="minorHAnsi" w:cstheme="majorBidi"/>
      <w:b/>
      <w:bCs/>
      <w:color w:val="FF0000"/>
      <w:sz w:val="26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870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CB59E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B59E7"/>
    <w:rPr>
      <w:rFonts w:ascii="Calibri" w:eastAsia="Calibri" w:hAnsi="Calibri" w:cs="Arial"/>
      <w:sz w:val="20"/>
      <w:szCs w:val="20"/>
    </w:rPr>
  </w:style>
  <w:style w:type="paragraph" w:styleId="Pieddepage">
    <w:name w:val="footer"/>
    <w:basedOn w:val="Normal"/>
    <w:link w:val="PieddepageCar"/>
    <w:uiPriority w:val="99"/>
    <w:semiHidden/>
    <w:unhideWhenUsed/>
    <w:rsid w:val="00CB59E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B59E7"/>
    <w:rPr>
      <w:rFonts w:ascii="Calibri" w:eastAsia="Calibri" w:hAnsi="Calibri" w:cs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67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6709"/>
    <w:rPr>
      <w:rFonts w:ascii="Tahoma" w:eastAsia="Calibri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E92C53"/>
    <w:rPr>
      <w:rFonts w:eastAsiaTheme="majorEastAsia" w:cstheme="majorBidi"/>
      <w:b/>
      <w:bCs/>
      <w:color w:val="FF0000"/>
      <w:sz w:val="26"/>
      <w:szCs w:val="28"/>
    </w:rPr>
  </w:style>
  <w:style w:type="paragraph" w:styleId="Paragraphedeliste">
    <w:name w:val="List Paragraph"/>
    <w:basedOn w:val="Normal"/>
    <w:uiPriority w:val="34"/>
    <w:qFormat/>
    <w:rsid w:val="00833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82783-1D9A-4FA7-BA35-1FC335904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3</Pages>
  <Words>957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41</cp:revision>
  <dcterms:created xsi:type="dcterms:W3CDTF">2017-03-09T18:01:00Z</dcterms:created>
  <dcterms:modified xsi:type="dcterms:W3CDTF">2017-04-13T14:29:00Z</dcterms:modified>
</cp:coreProperties>
</file>